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A790" w14:textId="3EE7C224" w:rsidR="00232C85" w:rsidRDefault="00232C85">
      <w:pPr>
        <w:pStyle w:val="BodyText"/>
        <w:spacing w:before="107"/>
        <w:ind w:left="0"/>
        <w:rPr>
          <w:sz w:val="24"/>
        </w:rPr>
      </w:pPr>
    </w:p>
    <w:p w14:paraId="5CFCF542" w14:textId="77777777" w:rsidR="00232C85" w:rsidRDefault="00000000">
      <w:pPr>
        <w:pStyle w:val="Title"/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06E87CAA" wp14:editId="200338C9">
            <wp:simplePos x="0" y="0"/>
            <wp:positionH relativeFrom="page">
              <wp:posOffset>5818401</wp:posOffset>
            </wp:positionH>
            <wp:positionV relativeFrom="paragraph">
              <wp:posOffset>-247876</wp:posOffset>
            </wp:positionV>
            <wp:extent cx="1507434" cy="4803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34" cy="480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E1F"/>
          <w:w w:val="105"/>
        </w:rPr>
        <w:t xml:space="preserve">KUSHTET E </w:t>
      </w:r>
      <w:r>
        <w:rPr>
          <w:color w:val="221E1F"/>
          <w:spacing w:val="-2"/>
          <w:w w:val="105"/>
        </w:rPr>
        <w:t>PËRGJITHSHME</w:t>
      </w:r>
    </w:p>
    <w:p w14:paraId="6F59DCC9" w14:textId="77777777" w:rsidR="00232C85" w:rsidRDefault="00000000">
      <w:pPr>
        <w:pStyle w:val="Heading1"/>
      </w:pPr>
      <w:r>
        <w:rPr>
          <w:color w:val="221E1F"/>
          <w:w w:val="105"/>
        </w:rPr>
        <w:t>OBJEKTI</w:t>
      </w:r>
      <w:r>
        <w:rPr>
          <w:color w:val="221E1F"/>
          <w:spacing w:val="-4"/>
          <w:w w:val="105"/>
        </w:rPr>
        <w:t xml:space="preserve"> </w:t>
      </w:r>
      <w:r>
        <w:rPr>
          <w:color w:val="221E1F"/>
          <w:w w:val="105"/>
        </w:rPr>
        <w:t>I</w:t>
      </w:r>
      <w:r>
        <w:rPr>
          <w:color w:val="221E1F"/>
          <w:spacing w:val="-3"/>
          <w:w w:val="105"/>
        </w:rPr>
        <w:t xml:space="preserve"> </w:t>
      </w:r>
      <w:r>
        <w:rPr>
          <w:color w:val="221E1F"/>
          <w:spacing w:val="-2"/>
          <w:w w:val="105"/>
        </w:rPr>
        <w:t>SIGURIMIT</w:t>
      </w:r>
    </w:p>
    <w:p w14:paraId="6577F5DE" w14:textId="77777777" w:rsidR="00232C85" w:rsidRDefault="00000000">
      <w:pPr>
        <w:pStyle w:val="BodyText"/>
        <w:ind w:right="152"/>
      </w:pPr>
      <w:r>
        <w:rPr>
          <w:color w:val="221E1F"/>
          <w:w w:val="105"/>
        </w:rPr>
        <w:t>Objekt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i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kësaj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kontrate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është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sigurimi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i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përgjegjësisë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drejtuesit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mjetit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motorik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për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dëmet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që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ky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drejtues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mund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t'i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shkaktojë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palëve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treta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nga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përdorimi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i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këtij</w:t>
      </w:r>
      <w:r>
        <w:rPr>
          <w:color w:val="221E1F"/>
          <w:spacing w:val="-5"/>
          <w:w w:val="105"/>
        </w:rPr>
        <w:t xml:space="preserve"> </w:t>
      </w:r>
      <w:r>
        <w:rPr>
          <w:color w:val="221E1F"/>
          <w:w w:val="105"/>
        </w:rPr>
        <w:t>mjeti,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si</w:t>
      </w:r>
      <w:r>
        <w:rPr>
          <w:color w:val="221E1F"/>
          <w:spacing w:val="40"/>
          <w:w w:val="105"/>
        </w:rPr>
        <w:t xml:space="preserve"> </w:t>
      </w:r>
      <w:r>
        <w:rPr>
          <w:color w:val="221E1F"/>
          <w:w w:val="105"/>
        </w:rPr>
        <w:t>rrjedhojë e veprimeve ose mosveprimeve të tij me faj, në përputhje me parashikimet e Ligjit nr. 32/2021, datë 16.03.2021 "Për sigurimin e detyrueshëm në sektorin e</w:t>
      </w:r>
      <w:r>
        <w:rPr>
          <w:color w:val="221E1F"/>
          <w:spacing w:val="40"/>
          <w:w w:val="105"/>
        </w:rPr>
        <w:t xml:space="preserve"> </w:t>
      </w:r>
      <w:r>
        <w:rPr>
          <w:color w:val="221E1F"/>
          <w:spacing w:val="-2"/>
          <w:w w:val="105"/>
        </w:rPr>
        <w:t>transportit".</w:t>
      </w:r>
    </w:p>
    <w:p w14:paraId="46202063" w14:textId="77777777" w:rsidR="00232C85" w:rsidRDefault="00000000">
      <w:pPr>
        <w:spacing w:before="71"/>
        <w:ind w:left="573"/>
        <w:rPr>
          <w:b/>
          <w:sz w:val="14"/>
        </w:rPr>
      </w:pPr>
      <w:r>
        <w:rPr>
          <w:b/>
          <w:color w:val="221E1F"/>
          <w:w w:val="105"/>
          <w:sz w:val="14"/>
        </w:rPr>
        <w:t>Kjo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kontratë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sigurimi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është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me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afat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1-vjeçar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dhe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mbulon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përgjegjësinë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e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të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siguruarit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ndaj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palëve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të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treta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për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dëme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të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ndodhura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vetëm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në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territorin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e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Republikës</w:t>
      </w:r>
      <w:r>
        <w:rPr>
          <w:b/>
          <w:color w:val="221E1F"/>
          <w:spacing w:val="-2"/>
          <w:w w:val="105"/>
          <w:sz w:val="14"/>
        </w:rPr>
        <w:t xml:space="preserve"> </w:t>
      </w:r>
      <w:r>
        <w:rPr>
          <w:b/>
          <w:color w:val="221E1F"/>
          <w:w w:val="105"/>
          <w:sz w:val="14"/>
        </w:rPr>
        <w:t>së</w:t>
      </w:r>
      <w:r>
        <w:rPr>
          <w:b/>
          <w:color w:val="221E1F"/>
          <w:spacing w:val="40"/>
          <w:w w:val="105"/>
          <w:sz w:val="14"/>
        </w:rPr>
        <w:t xml:space="preserve"> </w:t>
      </w:r>
      <w:r>
        <w:rPr>
          <w:b/>
          <w:color w:val="221E1F"/>
          <w:spacing w:val="-2"/>
          <w:w w:val="105"/>
          <w:sz w:val="14"/>
        </w:rPr>
        <w:t>Shqipërisë.</w:t>
      </w:r>
    </w:p>
    <w:p w14:paraId="59874E87" w14:textId="77777777" w:rsidR="00232C85" w:rsidRDefault="00000000">
      <w:pPr>
        <w:pStyle w:val="Heading1"/>
      </w:pPr>
      <w:r>
        <w:rPr>
          <w:color w:val="221E1F"/>
          <w:w w:val="105"/>
        </w:rPr>
        <w:t>DISPOZITA</w:t>
      </w:r>
      <w:r>
        <w:rPr>
          <w:color w:val="221E1F"/>
          <w:spacing w:val="-5"/>
          <w:w w:val="105"/>
        </w:rPr>
        <w:t xml:space="preserve"> </w:t>
      </w:r>
      <w:r>
        <w:rPr>
          <w:color w:val="221E1F"/>
          <w:w w:val="105"/>
        </w:rPr>
        <w:t>TË</w:t>
      </w:r>
      <w:r>
        <w:rPr>
          <w:color w:val="221E1F"/>
          <w:spacing w:val="-4"/>
          <w:w w:val="105"/>
        </w:rPr>
        <w:t xml:space="preserve"> </w:t>
      </w:r>
      <w:r>
        <w:rPr>
          <w:color w:val="221E1F"/>
          <w:spacing w:val="-2"/>
          <w:w w:val="105"/>
        </w:rPr>
        <w:t>PËRGJITHSHME</w:t>
      </w:r>
    </w:p>
    <w:p w14:paraId="36DC85B5" w14:textId="77777777" w:rsidR="00232C8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right="192" w:firstLine="0"/>
        <w:rPr>
          <w:sz w:val="14"/>
        </w:rPr>
      </w:pPr>
      <w:r>
        <w:rPr>
          <w:color w:val="221E1F"/>
          <w:w w:val="105"/>
          <w:sz w:val="14"/>
        </w:rPr>
        <w:t>Në zbatim të ligjit 32/2021 dhe brenda kufijve të përcaktuar, kjo kontratë mbulon dëmin ndaj pronës dhe dëmin ndaj personit, i cili llogaritet sipas Rregullores së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Autoritetit të Mbikëqyrjes Financiare të dalë në zbatim të nenit 11 të këtij ligji. Dëmi ndaj pronës është dëmi i pësuar si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rezultat i dëmtimit apo shkatërrimit të pronës, ndërsa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dëmi ndaj personit është dëmi që vjen si rezultat i vdekjes, dëmtimeve trupore dhe përkeqësimeve të shëndetit që pëson pala e dëmtuar ose të afërmit e tij. Këtu përfshihet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pasuror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jopasuror.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Sendet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objektet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përdorimit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zakonshëm,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cilat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vetë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natyrën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tyre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mbahen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vete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nga</w:t>
      </w:r>
      <w:r>
        <w:rPr>
          <w:color w:val="221E1F"/>
          <w:spacing w:val="-4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personat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që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transportohen,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janë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objekt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kësaj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spacing w:val="-2"/>
          <w:w w:val="105"/>
          <w:sz w:val="14"/>
        </w:rPr>
        <w:t>kontrate.</w:t>
      </w:r>
    </w:p>
    <w:p w14:paraId="4502437A" w14:textId="77777777" w:rsidR="00232C8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right="373" w:firstLine="0"/>
        <w:rPr>
          <w:sz w:val="14"/>
        </w:rPr>
      </w:pPr>
      <w:r>
        <w:rPr>
          <w:color w:val="221E1F"/>
          <w:w w:val="105"/>
          <w:sz w:val="14"/>
        </w:rPr>
        <w:t>Sigurimi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përgjegjësisë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mbajtësve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mjeteve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motorike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nuk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mbulon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sendeve,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cilat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marrë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përsipër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t'i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transportojë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mbajtësi</w:t>
      </w:r>
      <w:r>
        <w:rPr>
          <w:color w:val="221E1F"/>
          <w:spacing w:val="-4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mjetit,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shkaktar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aksidentit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 që ndodhen në mjet në çastin e ndodhjes së aksidentit.</w:t>
      </w:r>
    </w:p>
    <w:p w14:paraId="02E3672E" w14:textId="77777777" w:rsidR="00232C8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146"/>
        <w:rPr>
          <w:sz w:val="14"/>
        </w:rPr>
      </w:pPr>
      <w:r>
        <w:rPr>
          <w:color w:val="221E1F"/>
          <w:w w:val="105"/>
          <w:sz w:val="14"/>
        </w:rPr>
        <w:t>Përgjegjësia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pronarit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 mjetit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motorik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zbatohet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 dëmet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shkaktuara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 nga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tërheqës,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edhe nga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spacing w:val="-2"/>
          <w:w w:val="105"/>
          <w:sz w:val="14"/>
        </w:rPr>
        <w:t>tërhequr.</w:t>
      </w:r>
    </w:p>
    <w:p w14:paraId="68FA0A9A" w14:textId="77777777" w:rsidR="00232C8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right="201" w:firstLine="0"/>
        <w:rPr>
          <w:sz w:val="14"/>
        </w:rPr>
      </w:pPr>
      <w:r>
        <w:rPr>
          <w:color w:val="221E1F"/>
          <w:w w:val="105"/>
          <w:sz w:val="14"/>
        </w:rPr>
        <w:t>Kontrata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mbulon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edhe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ndaj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personit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pronës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që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mund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t’u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shkaktohen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këmbësorëve,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çiklistëve,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përdoruesve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mjeteve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jomotorike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që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lëvizin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spacing w:val="-2"/>
          <w:w w:val="105"/>
          <w:sz w:val="14"/>
        </w:rPr>
        <w:t>rrugë.</w:t>
      </w:r>
    </w:p>
    <w:p w14:paraId="5B75AD4F" w14:textId="77777777" w:rsidR="00232C8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right="565" w:firstLine="0"/>
        <w:rPr>
          <w:sz w:val="14"/>
        </w:rPr>
      </w:pPr>
      <w:r>
        <w:rPr>
          <w:color w:val="221E1F"/>
          <w:w w:val="105"/>
          <w:sz w:val="14"/>
        </w:rPr>
        <w:t>Shoqëria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është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detyruar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që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bashku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policën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t’i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dorëzojë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siguruarit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Raportin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Europian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Aksidenteve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sipas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formularit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miratuar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nga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spacing w:val="-2"/>
          <w:w w:val="105"/>
          <w:sz w:val="14"/>
        </w:rPr>
        <w:t>Autoriteti.</w:t>
      </w:r>
    </w:p>
    <w:p w14:paraId="4C8687BD" w14:textId="77777777" w:rsidR="00232C8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right="226" w:firstLine="0"/>
        <w:rPr>
          <w:sz w:val="14"/>
        </w:rPr>
      </w:pP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gjitha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ato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raste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kur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motorik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jepet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përdorim</w:t>
      </w:r>
      <w:r>
        <w:rPr>
          <w:color w:val="221E1F"/>
          <w:spacing w:val="-3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një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personi,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emri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cilit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nuk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është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shënuar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policën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pronari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duhet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njoftojë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shoqërinë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 që ka lëshuar policën, e cila llogarit tarifimin përkatës për sigurim, në rastet e aplikimit të sistemit bonus-malus</w:t>
      </w:r>
    </w:p>
    <w:p w14:paraId="601247E8" w14:textId="77777777" w:rsidR="00232C85" w:rsidRDefault="00000000">
      <w:pPr>
        <w:pStyle w:val="ListParagraph"/>
        <w:numPr>
          <w:ilvl w:val="0"/>
          <w:numId w:val="1"/>
        </w:numPr>
        <w:tabs>
          <w:tab w:val="left" w:pos="573"/>
          <w:tab w:val="left" w:pos="770"/>
        </w:tabs>
        <w:ind w:right="447" w:hanging="1"/>
        <w:rPr>
          <w:sz w:val="14"/>
        </w:rPr>
      </w:pPr>
      <w:r>
        <w:rPr>
          <w:color w:val="221E1F"/>
          <w:w w:val="105"/>
          <w:sz w:val="14"/>
        </w:rPr>
        <w:t>Të drejtat dhe përgjegjësitë që rrjedhin nga kontrata e sigurimit, kur ndryshon pronësia e mjetit gjatë periudhës së sigurimit, i kalojnë pronarit të ri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 vlejnë deri në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përfundimin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kontratës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sigurimit.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Pronari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ri,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brenda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15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(pesëmbëdhjetë)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ditëve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kalendarike,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detyrohet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njoftojë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shoqërinë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ndryshimin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pronësisë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së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mjetit dhe pasqyrimin e këtij ndryshimi në kontratën e sigurimit.</w:t>
      </w:r>
    </w:p>
    <w:p w14:paraId="385D7EDA" w14:textId="77777777" w:rsidR="00232C85" w:rsidRDefault="00000000">
      <w:pPr>
        <w:pStyle w:val="ListParagraph"/>
        <w:numPr>
          <w:ilvl w:val="0"/>
          <w:numId w:val="1"/>
        </w:numPr>
        <w:tabs>
          <w:tab w:val="left" w:pos="771"/>
        </w:tabs>
        <w:ind w:right="194" w:firstLine="0"/>
        <w:rPr>
          <w:sz w:val="14"/>
        </w:rPr>
      </w:pPr>
      <w:r>
        <w:rPr>
          <w:color w:val="221E1F"/>
          <w:w w:val="105"/>
          <w:sz w:val="14"/>
        </w:rPr>
        <w:t>Afati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parashkrimit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palës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tretë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dëmtuar,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kërkimin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dëmshpërblimit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shoqëria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është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2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vjet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dita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ndodhjes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aksidentit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bazë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nenit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115,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shkronja ç) të Kodit Civil të Republikës së Shqipërisë.</w:t>
      </w:r>
    </w:p>
    <w:p w14:paraId="75D8366D" w14:textId="77777777" w:rsidR="00232C85" w:rsidRDefault="00000000">
      <w:pPr>
        <w:pStyle w:val="Heading1"/>
      </w:pPr>
      <w:r>
        <w:rPr>
          <w:color w:val="221E1F"/>
          <w:w w:val="105"/>
        </w:rPr>
        <w:t>PËRJASHTIMET</w:t>
      </w:r>
      <w:r>
        <w:rPr>
          <w:color w:val="221E1F"/>
          <w:spacing w:val="-3"/>
          <w:w w:val="105"/>
        </w:rPr>
        <w:t xml:space="preserve"> </w:t>
      </w:r>
      <w:r>
        <w:rPr>
          <w:color w:val="221E1F"/>
          <w:w w:val="105"/>
        </w:rPr>
        <w:t>NGA</w:t>
      </w:r>
      <w:r>
        <w:rPr>
          <w:color w:val="221E1F"/>
          <w:spacing w:val="-3"/>
          <w:w w:val="105"/>
        </w:rPr>
        <w:t xml:space="preserve"> </w:t>
      </w:r>
      <w:r>
        <w:rPr>
          <w:color w:val="221E1F"/>
          <w:w w:val="105"/>
        </w:rPr>
        <w:t>MBULIMI</w:t>
      </w:r>
      <w:r>
        <w:rPr>
          <w:color w:val="221E1F"/>
          <w:spacing w:val="-3"/>
          <w:w w:val="105"/>
        </w:rPr>
        <w:t xml:space="preserve"> </w:t>
      </w:r>
      <w:r>
        <w:rPr>
          <w:color w:val="221E1F"/>
          <w:w w:val="105"/>
        </w:rPr>
        <w:t>NË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SIGURIM</w:t>
      </w:r>
      <w:r>
        <w:rPr>
          <w:color w:val="221E1F"/>
          <w:spacing w:val="-3"/>
          <w:w w:val="105"/>
        </w:rPr>
        <w:t xml:space="preserve"> </w:t>
      </w:r>
      <w:r>
        <w:rPr>
          <w:color w:val="221E1F"/>
          <w:w w:val="105"/>
        </w:rPr>
        <w:t>DHE</w:t>
      </w:r>
      <w:r>
        <w:rPr>
          <w:color w:val="221E1F"/>
          <w:spacing w:val="-3"/>
          <w:w w:val="105"/>
        </w:rPr>
        <w:t xml:space="preserve"> </w:t>
      </w:r>
      <w:r>
        <w:rPr>
          <w:color w:val="221E1F"/>
          <w:w w:val="105"/>
        </w:rPr>
        <w:t>PËRJASHTIMI</w:t>
      </w:r>
      <w:r>
        <w:rPr>
          <w:color w:val="221E1F"/>
          <w:spacing w:val="-3"/>
          <w:w w:val="105"/>
        </w:rPr>
        <w:t xml:space="preserve"> </w:t>
      </w:r>
      <w:r>
        <w:rPr>
          <w:color w:val="221E1F"/>
          <w:w w:val="105"/>
        </w:rPr>
        <w:t>NGA</w:t>
      </w:r>
      <w:r>
        <w:rPr>
          <w:color w:val="221E1F"/>
          <w:spacing w:val="-2"/>
          <w:w w:val="105"/>
        </w:rPr>
        <w:t xml:space="preserve"> DËMSHPËRBLIMI</w:t>
      </w:r>
    </w:p>
    <w:p w14:paraId="02ACED83" w14:textId="77777777" w:rsidR="00232C85" w:rsidRDefault="00000000">
      <w:pPr>
        <w:pStyle w:val="ListParagraph"/>
        <w:numPr>
          <w:ilvl w:val="0"/>
          <w:numId w:val="1"/>
        </w:numPr>
        <w:tabs>
          <w:tab w:val="left" w:pos="771"/>
        </w:tabs>
        <w:ind w:left="771" w:hanging="198"/>
        <w:rPr>
          <w:sz w:val="14"/>
        </w:rPr>
      </w:pPr>
      <w:r>
        <w:rPr>
          <w:color w:val="221E1F"/>
          <w:w w:val="105"/>
          <w:sz w:val="14"/>
        </w:rPr>
        <w:t>Nuk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përfiton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nga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kjo kontratë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spacing w:val="-2"/>
          <w:w w:val="105"/>
          <w:sz w:val="14"/>
        </w:rPr>
        <w:t>sigurimi:</w:t>
      </w:r>
    </w:p>
    <w:p w14:paraId="3F205C15" w14:textId="77777777" w:rsidR="00232C85" w:rsidRDefault="00000000">
      <w:pPr>
        <w:pStyle w:val="ListParagraph"/>
        <w:numPr>
          <w:ilvl w:val="1"/>
          <w:numId w:val="1"/>
        </w:numPr>
        <w:tabs>
          <w:tab w:val="left" w:pos="771"/>
        </w:tabs>
        <w:ind w:left="771" w:hanging="198"/>
        <w:rPr>
          <w:sz w:val="14"/>
        </w:rPr>
      </w:pPr>
      <w:r>
        <w:rPr>
          <w:color w:val="221E1F"/>
          <w:w w:val="105"/>
          <w:sz w:val="14"/>
        </w:rPr>
        <w:t>drejtuesi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mjetit,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shkaktar 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aksidentit,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përfshirë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këtu trashëgimtarët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tij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ligjorë dhe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afërmit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 tij,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që 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shkaktohen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këtij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spacing w:val="-2"/>
          <w:w w:val="105"/>
          <w:sz w:val="14"/>
        </w:rPr>
        <w:t>drejtuesi;</w:t>
      </w:r>
    </w:p>
    <w:p w14:paraId="577972E3" w14:textId="77777777" w:rsidR="00232C85" w:rsidRDefault="00000000">
      <w:pPr>
        <w:pStyle w:val="ListParagraph"/>
        <w:numPr>
          <w:ilvl w:val="1"/>
          <w:numId w:val="1"/>
        </w:numPr>
        <w:tabs>
          <w:tab w:val="left" w:pos="771"/>
        </w:tabs>
        <w:ind w:left="573" w:right="260" w:firstLine="0"/>
        <w:rPr>
          <w:sz w:val="14"/>
        </w:rPr>
      </w:pPr>
      <w:r>
        <w:rPr>
          <w:color w:val="221E1F"/>
          <w:w w:val="105"/>
          <w:sz w:val="14"/>
        </w:rPr>
        <w:t>çdo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bashkudhëtar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që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ndodhet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vullnetin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tij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motorik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shkaktar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aksidentit,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drejtuar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një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drejtues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paautorizuar,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kur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provohet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personi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që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ndodhet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 ishte në dijeni të këtyre rrethanave;</w:t>
      </w:r>
    </w:p>
    <w:p w14:paraId="69395677" w14:textId="77777777" w:rsidR="00232C85" w:rsidRDefault="00000000">
      <w:pPr>
        <w:pStyle w:val="ListParagraph"/>
        <w:numPr>
          <w:ilvl w:val="1"/>
          <w:numId w:val="1"/>
        </w:numPr>
        <w:tabs>
          <w:tab w:val="left" w:pos="771"/>
        </w:tabs>
        <w:ind w:left="771" w:hanging="198"/>
        <w:rPr>
          <w:sz w:val="14"/>
        </w:rPr>
      </w:pPr>
      <w:r>
        <w:rPr>
          <w:color w:val="221E1F"/>
          <w:w w:val="105"/>
          <w:sz w:val="14"/>
        </w:rPr>
        <w:t>çdo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bashkudhëtar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që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ndodhet me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vullnetin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tij në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një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 pasiguruar,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shkaktar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aksidentit, kur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provohet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personi ishte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dijeni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 kësaj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spacing w:val="-2"/>
          <w:w w:val="105"/>
          <w:sz w:val="14"/>
        </w:rPr>
        <w:t>rrethane;</w:t>
      </w:r>
    </w:p>
    <w:p w14:paraId="57B6F190" w14:textId="77777777" w:rsidR="00232C85" w:rsidRDefault="00000000">
      <w:pPr>
        <w:pStyle w:val="ListParagraph"/>
        <w:numPr>
          <w:ilvl w:val="1"/>
          <w:numId w:val="1"/>
        </w:numPr>
        <w:tabs>
          <w:tab w:val="left" w:pos="771"/>
        </w:tabs>
        <w:ind w:left="771" w:hanging="198"/>
        <w:rPr>
          <w:sz w:val="14"/>
        </w:rPr>
      </w:pPr>
      <w:r>
        <w:rPr>
          <w:color w:val="221E1F"/>
          <w:w w:val="105"/>
          <w:sz w:val="14"/>
        </w:rPr>
        <w:t>personi,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cili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ka përvetësuar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motorik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 mënyrë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kundërligjshme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 është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dëmtuar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gjatë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përdorimit 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këtij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spacing w:val="-2"/>
          <w:w w:val="105"/>
          <w:sz w:val="14"/>
        </w:rPr>
        <w:t>mjeti;</w:t>
      </w:r>
    </w:p>
    <w:p w14:paraId="205E1574" w14:textId="77777777" w:rsidR="00232C85" w:rsidRDefault="00000000">
      <w:pPr>
        <w:pStyle w:val="ListParagraph"/>
        <w:numPr>
          <w:ilvl w:val="1"/>
          <w:numId w:val="1"/>
        </w:numPr>
        <w:tabs>
          <w:tab w:val="left" w:pos="771"/>
        </w:tabs>
        <w:ind w:left="771" w:hanging="198"/>
        <w:rPr>
          <w:sz w:val="14"/>
        </w:rPr>
      </w:pPr>
      <w:r>
        <w:rPr>
          <w:color w:val="221E1F"/>
          <w:w w:val="105"/>
          <w:sz w:val="14"/>
        </w:rPr>
        <w:t>personi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dëmtuar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 këto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raste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spacing w:val="-10"/>
          <w:w w:val="105"/>
          <w:sz w:val="14"/>
        </w:rPr>
        <w:t>:</w:t>
      </w:r>
    </w:p>
    <w:p w14:paraId="5469CB72" w14:textId="77777777" w:rsidR="00232C85" w:rsidRDefault="00000000">
      <w:pPr>
        <w:pStyle w:val="ListParagraph"/>
        <w:numPr>
          <w:ilvl w:val="2"/>
          <w:numId w:val="1"/>
        </w:numPr>
        <w:tabs>
          <w:tab w:val="left" w:pos="771"/>
        </w:tabs>
        <w:spacing w:before="70"/>
        <w:ind w:right="150" w:firstLine="0"/>
        <w:rPr>
          <w:sz w:val="14"/>
        </w:rPr>
      </w:pP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përdorimit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një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ngjarje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sportive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rrugë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apo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pjesë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rrugësh,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palejuara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drejtim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mjetit,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arritjen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shpejtësisë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mesatarisht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larta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ose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t’u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stërvitur për gara;</w:t>
      </w:r>
    </w:p>
    <w:p w14:paraId="79AEB91D" w14:textId="77777777" w:rsidR="00232C85" w:rsidRDefault="00000000">
      <w:pPr>
        <w:pStyle w:val="ListParagraph"/>
        <w:numPr>
          <w:ilvl w:val="2"/>
          <w:numId w:val="1"/>
        </w:numPr>
        <w:tabs>
          <w:tab w:val="left" w:pos="771"/>
        </w:tabs>
        <w:ind w:left="771" w:hanging="198"/>
        <w:rPr>
          <w:sz w:val="14"/>
        </w:rPr>
      </w:pPr>
      <w:r>
        <w:rPr>
          <w:color w:val="221E1F"/>
          <w:w w:val="105"/>
          <w:sz w:val="14"/>
        </w:rPr>
        <w:t>për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pasojave 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energjisë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bërthamore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gjatë transportit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materialeve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spacing w:val="-2"/>
          <w:w w:val="105"/>
          <w:sz w:val="14"/>
        </w:rPr>
        <w:t>radioaktive;</w:t>
      </w:r>
    </w:p>
    <w:p w14:paraId="3F009289" w14:textId="77777777" w:rsidR="00232C85" w:rsidRDefault="00000000">
      <w:pPr>
        <w:pStyle w:val="ListParagraph"/>
        <w:numPr>
          <w:ilvl w:val="2"/>
          <w:numId w:val="1"/>
        </w:numPr>
        <w:tabs>
          <w:tab w:val="left" w:pos="771"/>
        </w:tabs>
        <w:ind w:left="771" w:hanging="198"/>
        <w:rPr>
          <w:sz w:val="14"/>
        </w:rPr>
      </w:pPr>
      <w:r>
        <w:rPr>
          <w:color w:val="221E1F"/>
          <w:w w:val="105"/>
          <w:sz w:val="14"/>
        </w:rPr>
        <w:t>për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veprimeve 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luftës,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revoltave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ose akteve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terroriste,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kusht që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shoqëria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 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provojë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dëmi është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shkaktuar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nga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ngjarje 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spacing w:val="-2"/>
          <w:w w:val="105"/>
          <w:sz w:val="14"/>
        </w:rPr>
        <w:t>tilla.</w:t>
      </w:r>
    </w:p>
    <w:p w14:paraId="14025522" w14:textId="77777777" w:rsidR="00232C85" w:rsidRDefault="00000000">
      <w:pPr>
        <w:pStyle w:val="ListParagraph"/>
        <w:numPr>
          <w:ilvl w:val="1"/>
          <w:numId w:val="1"/>
        </w:numPr>
        <w:tabs>
          <w:tab w:val="left" w:pos="771"/>
        </w:tabs>
        <w:ind w:left="771" w:hanging="198"/>
        <w:rPr>
          <w:sz w:val="14"/>
        </w:rPr>
      </w:pPr>
      <w:r>
        <w:rPr>
          <w:color w:val="221E1F"/>
          <w:w w:val="105"/>
          <w:sz w:val="14"/>
        </w:rPr>
        <w:t>drejtuesi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nuk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përdor mjetin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përputhje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me qëllimin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cilin ai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është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destinuar 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spacing w:val="-2"/>
          <w:w w:val="105"/>
          <w:sz w:val="14"/>
        </w:rPr>
        <w:t>përdoret;</w:t>
      </w:r>
    </w:p>
    <w:p w14:paraId="3888B824" w14:textId="77777777" w:rsidR="00232C85" w:rsidRDefault="00000000">
      <w:pPr>
        <w:pStyle w:val="ListParagraph"/>
        <w:numPr>
          <w:ilvl w:val="1"/>
          <w:numId w:val="1"/>
        </w:numPr>
        <w:tabs>
          <w:tab w:val="left" w:pos="771"/>
        </w:tabs>
        <w:ind w:left="573" w:right="180" w:firstLine="0"/>
        <w:rPr>
          <w:sz w:val="14"/>
        </w:rPr>
      </w:pPr>
      <w:r>
        <w:rPr>
          <w:color w:val="221E1F"/>
          <w:w w:val="105"/>
          <w:sz w:val="14"/>
        </w:rPr>
        <w:t>drejtuesi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nuk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leje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vlefshme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motorik,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sipas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kategorive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apo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tipit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mjetit,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përveç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rasteve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përdorimit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gjatë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mësimeve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drejtimit</w:t>
      </w:r>
      <w:r>
        <w:rPr>
          <w:color w:val="221E1F"/>
          <w:spacing w:val="-5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mjetit,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kur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ky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drejtohet nga kandidati drejtues sipas të gjitha rregullave të përcaktuara për procesin e mësimit;</w:t>
      </w:r>
    </w:p>
    <w:p w14:paraId="700D1F28" w14:textId="77777777" w:rsidR="00232C85" w:rsidRDefault="00000000">
      <w:pPr>
        <w:pStyle w:val="ListParagraph"/>
        <w:numPr>
          <w:ilvl w:val="1"/>
          <w:numId w:val="1"/>
        </w:numPr>
        <w:tabs>
          <w:tab w:val="left" w:pos="771"/>
        </w:tabs>
        <w:ind w:left="573" w:right="472" w:firstLine="0"/>
        <w:rPr>
          <w:sz w:val="14"/>
        </w:rPr>
      </w:pPr>
      <w:r>
        <w:rPr>
          <w:color w:val="221E1F"/>
          <w:w w:val="105"/>
          <w:sz w:val="14"/>
        </w:rPr>
        <w:t>drejtuesit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motorik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është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pezulluar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leja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drejtimit,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është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ndaluar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drejtojë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tipin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kategorinë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ose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është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ndaluar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përdorimi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lejes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drejtimit,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lëshuar nga një vend tjetër për në territorin e Republikës së Shqipërisë;</w:t>
      </w:r>
    </w:p>
    <w:p w14:paraId="427138D1" w14:textId="77777777" w:rsidR="00232C85" w:rsidRDefault="00000000">
      <w:pPr>
        <w:pStyle w:val="ListParagraph"/>
        <w:numPr>
          <w:ilvl w:val="1"/>
          <w:numId w:val="1"/>
        </w:numPr>
        <w:tabs>
          <w:tab w:val="left" w:pos="771"/>
        </w:tabs>
        <w:ind w:left="771" w:hanging="198"/>
        <w:rPr>
          <w:sz w:val="14"/>
        </w:rPr>
      </w:pPr>
      <w:r>
        <w:rPr>
          <w:color w:val="221E1F"/>
          <w:w w:val="105"/>
          <w:sz w:val="14"/>
        </w:rPr>
        <w:t>drejtuesi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drejton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mjetin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motorik nën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ndikimin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alkoolit mbi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kufirin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lejuar, nën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ndikimin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lëndëve narkotike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apo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spacing w:val="-2"/>
          <w:w w:val="105"/>
          <w:sz w:val="14"/>
        </w:rPr>
        <w:t>psikoaktive;</w:t>
      </w:r>
    </w:p>
    <w:p w14:paraId="0C9D8A5D" w14:textId="77777777" w:rsidR="00232C85" w:rsidRDefault="00000000">
      <w:pPr>
        <w:pStyle w:val="ListParagraph"/>
        <w:numPr>
          <w:ilvl w:val="1"/>
          <w:numId w:val="1"/>
        </w:numPr>
        <w:tabs>
          <w:tab w:val="left" w:pos="771"/>
        </w:tabs>
        <w:ind w:left="771" w:hanging="198"/>
        <w:rPr>
          <w:sz w:val="14"/>
        </w:rPr>
      </w:pPr>
      <w:r>
        <w:rPr>
          <w:color w:val="221E1F"/>
          <w:w w:val="105"/>
          <w:sz w:val="14"/>
        </w:rPr>
        <w:t>drejtuesi</w:t>
      </w:r>
      <w:r>
        <w:rPr>
          <w:color w:val="221E1F"/>
          <w:spacing w:val="-3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shkakton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 xml:space="preserve">dëmin </w:t>
      </w:r>
      <w:r>
        <w:rPr>
          <w:color w:val="221E1F"/>
          <w:spacing w:val="-2"/>
          <w:w w:val="105"/>
          <w:sz w:val="14"/>
        </w:rPr>
        <w:t>qëllimisht;</w:t>
      </w:r>
    </w:p>
    <w:p w14:paraId="12D1BC7F" w14:textId="77777777" w:rsidR="00232C85" w:rsidRDefault="00000000">
      <w:pPr>
        <w:pStyle w:val="ListParagraph"/>
        <w:numPr>
          <w:ilvl w:val="1"/>
          <w:numId w:val="1"/>
        </w:numPr>
        <w:tabs>
          <w:tab w:val="left" w:pos="770"/>
        </w:tabs>
        <w:ind w:left="770" w:hanging="198"/>
        <w:rPr>
          <w:sz w:val="14"/>
        </w:rPr>
      </w:pPr>
      <w:r>
        <w:rPr>
          <w:color w:val="221E1F"/>
          <w:w w:val="105"/>
          <w:sz w:val="14"/>
        </w:rPr>
        <w:t>aksidenti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ndodh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 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defekteve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teknike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 mjetit,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cilat drejtuesi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ka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qenë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 xml:space="preserve">në </w:t>
      </w:r>
      <w:r>
        <w:rPr>
          <w:color w:val="221E1F"/>
          <w:spacing w:val="-2"/>
          <w:w w:val="105"/>
          <w:sz w:val="14"/>
        </w:rPr>
        <w:t>dijeni;</w:t>
      </w:r>
    </w:p>
    <w:p w14:paraId="13391C25" w14:textId="77777777" w:rsidR="00232C85" w:rsidRDefault="00000000">
      <w:pPr>
        <w:pStyle w:val="BodyText"/>
        <w:ind w:left="572" w:right="152"/>
      </w:pPr>
      <w:r>
        <w:rPr>
          <w:color w:val="221E1F"/>
          <w:w w:val="105"/>
        </w:rPr>
        <w:t>Humbja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drejtave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që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rrjedhin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nga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sigurimi,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siç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përcaktohen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në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shkronjat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“f”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deri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në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“k”,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nuk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kufizon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drejtat</w:t>
      </w:r>
      <w:r>
        <w:rPr>
          <w:color w:val="221E1F"/>
          <w:spacing w:val="-3"/>
          <w:w w:val="105"/>
        </w:rPr>
        <w:t xml:space="preserve"> </w:t>
      </w:r>
      <w:r>
        <w:rPr>
          <w:color w:val="221E1F"/>
          <w:w w:val="105"/>
        </w:rPr>
        <w:t>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palëve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treta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për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paraqitur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kërkesën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për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dëmshpërblim</w:t>
      </w:r>
      <w:r>
        <w:rPr>
          <w:color w:val="221E1F"/>
          <w:spacing w:val="40"/>
          <w:w w:val="105"/>
        </w:rPr>
        <w:t xml:space="preserve"> </w:t>
      </w:r>
      <w:r>
        <w:rPr>
          <w:color w:val="221E1F"/>
          <w:w w:val="105"/>
        </w:rPr>
        <w:t>te siguruesi përgjegjës, i cili ka të drejtë të rimbursojë të gjithë masën e paguar për dëmet, interesat dhe shpenzimet nga personi përgjegjës për dëmet.</w:t>
      </w:r>
    </w:p>
    <w:p w14:paraId="10F98046" w14:textId="77777777" w:rsidR="00232C85" w:rsidRDefault="00000000">
      <w:pPr>
        <w:pStyle w:val="Heading1"/>
      </w:pPr>
      <w:r>
        <w:rPr>
          <w:color w:val="221E1F"/>
          <w:w w:val="105"/>
        </w:rPr>
        <w:t>DISPOZITA</w:t>
      </w:r>
      <w:r>
        <w:rPr>
          <w:color w:val="221E1F"/>
          <w:spacing w:val="-5"/>
          <w:w w:val="105"/>
        </w:rPr>
        <w:t xml:space="preserve"> </w:t>
      </w:r>
      <w:r>
        <w:rPr>
          <w:color w:val="221E1F"/>
          <w:w w:val="105"/>
        </w:rPr>
        <w:t>TË</w:t>
      </w:r>
      <w:r>
        <w:rPr>
          <w:color w:val="221E1F"/>
          <w:spacing w:val="-4"/>
          <w:w w:val="105"/>
        </w:rPr>
        <w:t xml:space="preserve"> TJERA</w:t>
      </w:r>
    </w:p>
    <w:p w14:paraId="4EBAC62F" w14:textId="77777777" w:rsidR="00232C85" w:rsidRDefault="00000000">
      <w:pPr>
        <w:pStyle w:val="ListParagraph"/>
        <w:numPr>
          <w:ilvl w:val="0"/>
          <w:numId w:val="1"/>
        </w:numPr>
        <w:tabs>
          <w:tab w:val="left" w:pos="771"/>
        </w:tabs>
        <w:ind w:left="771" w:hanging="198"/>
        <w:rPr>
          <w:sz w:val="14"/>
        </w:rPr>
      </w:pPr>
      <w:r>
        <w:rPr>
          <w:color w:val="221E1F"/>
          <w:w w:val="105"/>
          <w:sz w:val="14"/>
        </w:rPr>
        <w:t>Pala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dëmtuar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është 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detyruar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njoftojë Rastin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Sigurimit,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menjëherë dhe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sa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shpejt, pranë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shoqërisë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 xml:space="preserve">sigurimit </w:t>
      </w:r>
      <w:r>
        <w:rPr>
          <w:color w:val="221E1F"/>
          <w:spacing w:val="-2"/>
          <w:w w:val="105"/>
          <w:sz w:val="14"/>
        </w:rPr>
        <w:t>përgjegjëse.</w:t>
      </w:r>
    </w:p>
    <w:p w14:paraId="6E51E139" w14:textId="77777777" w:rsidR="00232C85" w:rsidRDefault="00000000">
      <w:pPr>
        <w:pStyle w:val="ListParagraph"/>
        <w:numPr>
          <w:ilvl w:val="0"/>
          <w:numId w:val="1"/>
        </w:numPr>
        <w:tabs>
          <w:tab w:val="left" w:pos="771"/>
        </w:tabs>
        <w:ind w:right="990" w:firstLine="0"/>
        <w:rPr>
          <w:sz w:val="14"/>
        </w:rPr>
      </w:pPr>
      <w:r>
        <w:rPr>
          <w:color w:val="221E1F"/>
          <w:w w:val="105"/>
          <w:sz w:val="14"/>
        </w:rPr>
        <w:t>Pala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dëmtuar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drejtohet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kërkesë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dëmshpërblim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drejtpërdrejt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shoqërisë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saj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rastin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kur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shkaktari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aksidentit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është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pasiguruar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apo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paidentifikuar, mbi çdo dëm të shkaktuar mbi pronën apo shëndetin e tij.</w:t>
      </w:r>
    </w:p>
    <w:p w14:paraId="563A33FA" w14:textId="77777777" w:rsidR="00232C85" w:rsidRDefault="00000000">
      <w:pPr>
        <w:pStyle w:val="ListParagraph"/>
        <w:numPr>
          <w:ilvl w:val="0"/>
          <w:numId w:val="1"/>
        </w:numPr>
        <w:tabs>
          <w:tab w:val="left" w:pos="770"/>
        </w:tabs>
        <w:ind w:left="572" w:right="202" w:firstLine="0"/>
        <w:rPr>
          <w:sz w:val="14"/>
        </w:rPr>
      </w:pPr>
      <w:r>
        <w:rPr>
          <w:color w:val="221E1F"/>
          <w:w w:val="105"/>
          <w:sz w:val="14"/>
        </w:rPr>
        <w:t>Shoqëria e sigurimit trajton kërkesën për dëmshpërblim dhe njofton palën e dëmtuar për masën e dëmshpërblimit apo për refuzimin e kërkesës për dëmshpërblim, për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ndaj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personit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brenda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90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(nëntëdhjetë)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ditëve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kalendarike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data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depozitimit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kërkesës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dëmshpërblim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ndaj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pronës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vlerë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mbi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100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000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(njëqind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mijë) lekë, brenda 30 (tridhjetë) ditëve kalendarike nga data e depozitimit të kërkesës për dëmshpërblim. Pagesa pas trajtimit dhe nënshkrimit të deklaratës së pranimit të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dëmshpërblimit bëhet brenda 14 (katërmbëdhjetë) ditëve kalendarike.</w:t>
      </w:r>
    </w:p>
    <w:p w14:paraId="11E8E9CC" w14:textId="77777777" w:rsidR="00232C85" w:rsidRDefault="00000000">
      <w:pPr>
        <w:pStyle w:val="BodyText"/>
        <w:ind w:left="572" w:right="152"/>
      </w:pPr>
      <w:r>
        <w:rPr>
          <w:color w:val="221E1F"/>
          <w:w w:val="105"/>
        </w:rPr>
        <w:t>Ndërsa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për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dëme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ndaj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pronës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me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vlerë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deri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në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100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000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(njëqind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mijë)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lekë,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trajtimi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dhe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kryerja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pagesës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së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dëmshpërblimit,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bëhet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brenda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14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(katërmbëdhjetë)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ditëve</w:t>
      </w:r>
      <w:r>
        <w:rPr>
          <w:color w:val="221E1F"/>
          <w:spacing w:val="40"/>
          <w:w w:val="105"/>
        </w:rPr>
        <w:t xml:space="preserve"> </w:t>
      </w:r>
      <w:r>
        <w:rPr>
          <w:color w:val="221E1F"/>
          <w:w w:val="105"/>
        </w:rPr>
        <w:t>kalendarike nga data e paraqitjes së kërkesës për dëmshpërblim.</w:t>
      </w:r>
    </w:p>
    <w:p w14:paraId="2F5DE0C5" w14:textId="77777777" w:rsidR="00232C85" w:rsidRDefault="00000000">
      <w:pPr>
        <w:pStyle w:val="ListParagraph"/>
        <w:numPr>
          <w:ilvl w:val="0"/>
          <w:numId w:val="1"/>
        </w:numPr>
        <w:tabs>
          <w:tab w:val="left" w:pos="791"/>
        </w:tabs>
        <w:ind w:left="572" w:right="502" w:firstLine="0"/>
        <w:rPr>
          <w:sz w:val="14"/>
        </w:rPr>
      </w:pP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zbatim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nenit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9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nenit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10,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pika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10,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Ligjit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nr.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32/2021,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datë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16.03.2021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"Për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detyrueshëm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sektorin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transportit",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pas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trajtimit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marrjes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së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përgjigjes nga shoqëria e sigurimit/Byroja, pala e dëmtuar që ka pretendime, mund t’i drejtohet gjykatës me padi civile.</w:t>
      </w:r>
    </w:p>
    <w:p w14:paraId="3F84BF1B" w14:textId="77777777" w:rsidR="00232C85" w:rsidRDefault="00000000">
      <w:pPr>
        <w:pStyle w:val="ListParagraph"/>
        <w:numPr>
          <w:ilvl w:val="0"/>
          <w:numId w:val="1"/>
        </w:numPr>
        <w:tabs>
          <w:tab w:val="left" w:pos="791"/>
        </w:tabs>
        <w:ind w:left="572" w:right="639" w:firstLine="0"/>
        <w:rPr>
          <w:sz w:val="14"/>
        </w:rPr>
      </w:pPr>
      <w:r>
        <w:rPr>
          <w:color w:val="221E1F"/>
          <w:w w:val="105"/>
          <w:sz w:val="14"/>
        </w:rPr>
        <w:t>Drejtuesit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mjeteve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përfshirë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një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aksident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rrugor,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ndaj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pronës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vlerë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deri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30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000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(tridhjetë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mijë)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lekë,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nëse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bien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dakort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duhet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plotësojnë,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nënshkruajnë dhe të shkëmbejnë Raportin Europian të Aksidenteve, pa patur nevojë që të kenë procesverbalin e konstatimit të shkeljes nga Policia Rrugore.</w:t>
      </w:r>
    </w:p>
    <w:p w14:paraId="62A44AF8" w14:textId="77777777" w:rsidR="00232C85" w:rsidRDefault="00000000">
      <w:pPr>
        <w:pStyle w:val="BodyText"/>
        <w:ind w:left="572" w:right="152"/>
      </w:pPr>
      <w:r>
        <w:rPr>
          <w:color w:val="221E1F"/>
          <w:w w:val="105"/>
        </w:rPr>
        <w:t>Për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dëme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ndaj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pronës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deri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në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30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000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(tridhjetë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mijë)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lekë,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vetëm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në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rastet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kur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drejtuesit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mjeteve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përfshirë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në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aksident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nuk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bien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dakord,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si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dhe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për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të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gjitha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dëmet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e</w:t>
      </w:r>
      <w:r>
        <w:rPr>
          <w:color w:val="221E1F"/>
          <w:spacing w:val="-2"/>
          <w:w w:val="105"/>
        </w:rPr>
        <w:t xml:space="preserve"> </w:t>
      </w:r>
      <w:r>
        <w:rPr>
          <w:color w:val="221E1F"/>
          <w:w w:val="105"/>
        </w:rPr>
        <w:t>pronës</w:t>
      </w:r>
      <w:r>
        <w:rPr>
          <w:color w:val="221E1F"/>
          <w:spacing w:val="40"/>
          <w:w w:val="105"/>
        </w:rPr>
        <w:t xml:space="preserve"> </w:t>
      </w:r>
      <w:r>
        <w:rPr>
          <w:color w:val="221E1F"/>
          <w:w w:val="105"/>
        </w:rPr>
        <w:t>mbi këtë vlerë duhet të marrin procesverbalin e konstatimit të shkeljes nga Policia Rrugore.</w:t>
      </w:r>
    </w:p>
    <w:p w14:paraId="53DCF5F7" w14:textId="77777777" w:rsidR="00232C85" w:rsidRDefault="00000000">
      <w:pPr>
        <w:pStyle w:val="ListParagraph"/>
        <w:numPr>
          <w:ilvl w:val="0"/>
          <w:numId w:val="1"/>
        </w:numPr>
        <w:tabs>
          <w:tab w:val="left" w:pos="791"/>
        </w:tabs>
        <w:ind w:left="572" w:right="177" w:firstLine="0"/>
        <w:rPr>
          <w:sz w:val="14"/>
        </w:rPr>
      </w:pPr>
      <w:r>
        <w:rPr>
          <w:color w:val="221E1F"/>
          <w:w w:val="105"/>
          <w:sz w:val="14"/>
        </w:rPr>
        <w:t>Bazuar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ligjin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nr.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32/2021,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datë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16.03.2021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“Për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detyrueshëm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sektorin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transportit”,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kufiri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minimal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përgjegjësisë,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që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mbulohet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kontrata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hyrjen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fuqi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ligjit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përcaktohen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nenin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25,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këtij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ligji.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kontratat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lidhura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data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01.01.2022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deri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datën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31.12.2026,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kufiri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dëmet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shkaktuar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nga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mjetet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tjera përfshirë mjetet e paidentifikuara do të rritet me 4 000 000 (katër milionë) lekë çdo vit si dhe kufiri për çdo person të dëmtuar në një ngjarje sigurimi do të rritet me 2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000 000 (dy milionë) lekë çdo vit.</w:t>
      </w:r>
    </w:p>
    <w:p w14:paraId="5ED4F7D2" w14:textId="77777777" w:rsidR="00232C85" w:rsidRDefault="00000000">
      <w:pPr>
        <w:pStyle w:val="ListParagraph"/>
        <w:numPr>
          <w:ilvl w:val="0"/>
          <w:numId w:val="1"/>
        </w:numPr>
        <w:tabs>
          <w:tab w:val="left" w:pos="791"/>
        </w:tabs>
        <w:ind w:left="572" w:right="260" w:firstLine="0"/>
        <w:rPr>
          <w:sz w:val="14"/>
        </w:rPr>
      </w:pPr>
      <w:r>
        <w:rPr>
          <w:color w:val="221E1F"/>
          <w:w w:val="105"/>
          <w:sz w:val="14"/>
        </w:rPr>
        <w:t>Të dhënat personale të mbledhura nga kjo kontratë (emri i policës së sigurimit të detyrueshëm) do të përdoren në administrimin e kontratës së sigurimit, për dhënien e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shërbimeve ndaj të siguruarit dhe përfituesit, përfshirë trajtimin e dëmit, në zbatim të ligjit nr. 32/2021 datë 16.03.2021 "Për sigurimin e detyrueshëm në sektorin e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transportit".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Shoqëria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(emri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i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shoqërisë)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realizon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transferimin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dhënave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personale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tek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tretë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qëllime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sigurimit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apo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biznesit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sipas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specifikimeve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2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ligjit.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lidhje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dhënat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personale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mbledhura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përpunimin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tyre,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klienti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ka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-1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ushtrojë</w:t>
      </w:r>
      <w:r>
        <w:rPr>
          <w:color w:val="221E1F"/>
          <w:spacing w:val="36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36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drejtën</w:t>
      </w:r>
      <w:r>
        <w:rPr>
          <w:color w:val="221E1F"/>
          <w:spacing w:val="36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34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aksesit</w:t>
      </w:r>
      <w:r>
        <w:rPr>
          <w:color w:val="221E1F"/>
          <w:spacing w:val="36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dhe</w:t>
      </w:r>
      <w:r>
        <w:rPr>
          <w:color w:val="221E1F"/>
          <w:spacing w:val="36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36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drejtat</w:t>
      </w:r>
      <w:r>
        <w:rPr>
          <w:color w:val="221E1F"/>
          <w:spacing w:val="36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e</w:t>
      </w:r>
      <w:r>
        <w:rPr>
          <w:color w:val="221E1F"/>
          <w:spacing w:val="36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tjera</w:t>
      </w:r>
      <w:r>
        <w:rPr>
          <w:color w:val="221E1F"/>
          <w:spacing w:val="36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të</w:t>
      </w:r>
      <w:r>
        <w:rPr>
          <w:color w:val="221E1F"/>
          <w:spacing w:val="36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parashikuara</w:t>
      </w:r>
      <w:r>
        <w:rPr>
          <w:color w:val="221E1F"/>
          <w:spacing w:val="36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në</w:t>
      </w:r>
      <w:r>
        <w:rPr>
          <w:color w:val="221E1F"/>
          <w:spacing w:val="36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ligjin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nr.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9887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datë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10.03.2008</w:t>
      </w:r>
      <w:r>
        <w:rPr>
          <w:color w:val="221E1F"/>
          <w:spacing w:val="40"/>
          <w:w w:val="105"/>
          <w:sz w:val="14"/>
        </w:rPr>
        <w:t xml:space="preserve"> </w:t>
      </w:r>
      <w:r>
        <w:rPr>
          <w:color w:val="221E1F"/>
          <w:w w:val="105"/>
          <w:sz w:val="14"/>
        </w:rPr>
        <w:t>"Për mbrojtjen e të dhënave personale" (i ndryshuar).</w:t>
      </w:r>
    </w:p>
    <w:p w14:paraId="2B340D21" w14:textId="77777777" w:rsidR="00232C85" w:rsidRDefault="00000000">
      <w:pPr>
        <w:spacing w:before="71"/>
        <w:ind w:left="572"/>
      </w:pPr>
      <w:r>
        <w:rPr>
          <w:i/>
          <w:color w:val="221E1F"/>
          <w:w w:val="105"/>
          <w:sz w:val="14"/>
        </w:rPr>
        <w:t>Verifikoni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policën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tuaj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të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sigurimit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TPL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në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Regjistri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Elektronik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Online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të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Shitjeve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të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Sigurimit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të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Detyrueshëm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Motorik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në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faqen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web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të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Autoritetit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të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Mbikëqyrjes</w:t>
      </w:r>
      <w:r>
        <w:rPr>
          <w:i/>
          <w:color w:val="221E1F"/>
          <w:spacing w:val="-2"/>
          <w:w w:val="105"/>
          <w:sz w:val="14"/>
        </w:rPr>
        <w:t xml:space="preserve"> </w:t>
      </w:r>
      <w:r>
        <w:rPr>
          <w:i/>
          <w:color w:val="221E1F"/>
          <w:w w:val="105"/>
          <w:sz w:val="14"/>
        </w:rPr>
        <w:t>Financiare</w:t>
      </w:r>
      <w:r>
        <w:rPr>
          <w:i/>
          <w:color w:val="221E1F"/>
          <w:spacing w:val="40"/>
          <w:w w:val="105"/>
          <w:sz w:val="14"/>
        </w:rPr>
        <w:t xml:space="preserve"> </w:t>
      </w:r>
      <w:hyperlink r:id="rId6">
        <w:r>
          <w:rPr>
            <w:i/>
            <w:color w:val="221E1F"/>
            <w:w w:val="105"/>
            <w:sz w:val="14"/>
          </w:rPr>
          <w:t>www.amf.gov.al</w:t>
        </w:r>
      </w:hyperlink>
      <w:r>
        <w:rPr>
          <w:i/>
          <w:color w:val="221E1F"/>
          <w:w w:val="105"/>
          <w:sz w:val="14"/>
        </w:rPr>
        <w:t xml:space="preserve"> ose duke kontaktuar në </w:t>
      </w:r>
      <w:hyperlink r:id="rId7">
        <w:r>
          <w:rPr>
            <w:i/>
            <w:color w:val="221E1F"/>
            <w:w w:val="105"/>
            <w:sz w:val="14"/>
          </w:rPr>
          <w:t>konsumatori@amf.gov.al.</w:t>
        </w:r>
      </w:hyperlink>
    </w:p>
    <w:p w14:paraId="02946B2E" w14:textId="77777777" w:rsidR="00B912D0" w:rsidRDefault="00B912D0">
      <w:pPr>
        <w:spacing w:before="71"/>
        <w:ind w:left="572"/>
      </w:pPr>
    </w:p>
    <w:p w14:paraId="48B39954" w14:textId="77777777" w:rsidR="00B912D0" w:rsidRDefault="00B912D0">
      <w:pPr>
        <w:spacing w:before="71"/>
        <w:ind w:left="572"/>
      </w:pPr>
    </w:p>
    <w:p w14:paraId="625B9F69" w14:textId="04AAD697" w:rsidR="00B912D0" w:rsidRDefault="00B912D0">
      <w:pPr>
        <w:spacing w:before="71"/>
        <w:ind w:left="572"/>
        <w:rPr>
          <w:i/>
          <w:sz w:val="1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F4887A4" wp14:editId="45DA6295">
            <wp:simplePos x="0" y="0"/>
            <wp:positionH relativeFrom="page">
              <wp:posOffset>0</wp:posOffset>
            </wp:positionH>
            <wp:positionV relativeFrom="paragraph">
              <wp:posOffset>-6350</wp:posOffset>
            </wp:positionV>
            <wp:extent cx="7587625" cy="10733405"/>
            <wp:effectExtent l="0" t="0" r="0" b="0"/>
            <wp:wrapNone/>
            <wp:docPr id="880562391" name="Picture 1" descr="Një sfond i bardhë me tekst të kuq dhe të zi&#10;&#10;Përshkrimi i gjeneruar automatikis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62391" name="Picture 1" descr="A white background with red and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081" cy="10746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4A944" w14:textId="4146283C" w:rsidR="00B912D0" w:rsidRDefault="00B912D0">
      <w:pPr>
        <w:spacing w:before="71"/>
        <w:ind w:left="572"/>
        <w:rPr>
          <w:i/>
          <w:sz w:val="14"/>
        </w:rPr>
      </w:pPr>
    </w:p>
    <w:p w14:paraId="4041F0E4" w14:textId="0B7ED813" w:rsidR="00B912D0" w:rsidRDefault="00B912D0">
      <w:pPr>
        <w:spacing w:before="71"/>
        <w:ind w:left="572"/>
        <w:rPr>
          <w:i/>
          <w:sz w:val="14"/>
        </w:rPr>
      </w:pPr>
    </w:p>
    <w:p w14:paraId="286F0E4B" w14:textId="6272A96D" w:rsidR="00B912D0" w:rsidRDefault="00B912D0">
      <w:pPr>
        <w:spacing w:before="71"/>
        <w:ind w:left="572"/>
        <w:rPr>
          <w:i/>
          <w:sz w:val="14"/>
        </w:rPr>
      </w:pPr>
    </w:p>
    <w:p w14:paraId="335E06B4" w14:textId="01B5C769" w:rsidR="00B912D0" w:rsidRDefault="00B912D0">
      <w:pPr>
        <w:spacing w:before="71"/>
        <w:ind w:left="572"/>
        <w:rPr>
          <w:i/>
          <w:sz w:val="14"/>
        </w:rPr>
      </w:pPr>
    </w:p>
    <w:p w14:paraId="172673E4" w14:textId="19ABDFDF" w:rsidR="00B912D0" w:rsidRDefault="00B912D0">
      <w:pPr>
        <w:spacing w:before="71"/>
        <w:ind w:left="572"/>
        <w:rPr>
          <w:i/>
          <w:sz w:val="14"/>
        </w:rPr>
      </w:pPr>
    </w:p>
    <w:p w14:paraId="4D4171F9" w14:textId="37E4E881" w:rsidR="00B912D0" w:rsidRDefault="00B912D0">
      <w:pPr>
        <w:spacing w:before="71"/>
        <w:ind w:left="572"/>
        <w:rPr>
          <w:i/>
          <w:sz w:val="14"/>
        </w:rPr>
      </w:pPr>
    </w:p>
    <w:p w14:paraId="3719E7BF" w14:textId="65B70867" w:rsidR="00B912D0" w:rsidRDefault="00B912D0">
      <w:pPr>
        <w:spacing w:before="71"/>
        <w:ind w:left="572"/>
        <w:rPr>
          <w:i/>
          <w:sz w:val="14"/>
        </w:rPr>
      </w:pPr>
    </w:p>
    <w:p w14:paraId="5C685D77" w14:textId="2BAAC8F5" w:rsidR="00B912D0" w:rsidRDefault="00B912D0">
      <w:pPr>
        <w:spacing w:before="71"/>
        <w:ind w:left="572"/>
        <w:rPr>
          <w:i/>
          <w:sz w:val="14"/>
        </w:rPr>
      </w:pPr>
    </w:p>
    <w:p w14:paraId="4B4D8800" w14:textId="081FAFCB" w:rsidR="00B912D0" w:rsidRDefault="00B912D0" w:rsidP="00B912D0">
      <w:pPr>
        <w:spacing w:before="71"/>
        <w:ind w:left="572"/>
        <w:rPr>
          <w:i/>
          <w:sz w:val="14"/>
        </w:rPr>
      </w:pPr>
    </w:p>
    <w:p w14:paraId="78674655" w14:textId="0C70A7CA" w:rsidR="00B912D0" w:rsidRDefault="00B912D0" w:rsidP="00B912D0">
      <w:pPr>
        <w:spacing w:before="71"/>
        <w:ind w:left="572"/>
        <w:rPr>
          <w:i/>
          <w:sz w:val="14"/>
        </w:rPr>
      </w:pPr>
    </w:p>
    <w:p w14:paraId="2D021F05" w14:textId="46176CAE" w:rsidR="00B912D0" w:rsidRDefault="00B912D0" w:rsidP="00B912D0">
      <w:pPr>
        <w:spacing w:before="71"/>
        <w:ind w:left="572"/>
        <w:rPr>
          <w:i/>
          <w:sz w:val="14"/>
        </w:rPr>
      </w:pPr>
    </w:p>
    <w:p w14:paraId="456CCB46" w14:textId="43E3EC45" w:rsidR="00B912D0" w:rsidRDefault="00B912D0" w:rsidP="00B912D0">
      <w:pPr>
        <w:spacing w:before="71"/>
        <w:ind w:left="572"/>
        <w:rPr>
          <w:i/>
          <w:sz w:val="24"/>
          <w:szCs w:val="40"/>
        </w:rPr>
      </w:pPr>
      <w:r w:rsidRPr="00070959">
        <w:rPr>
          <w:i/>
          <w:sz w:val="24"/>
          <w:szCs w:val="40"/>
        </w:rPr>
        <w:t>IutePay SHPK vepron si agjent sigurimesh për klasat e jo-jetës, në bazë të vendimit të Bordit të Autoritetit të Mbikëqyrjes Financiare, Nr. 131, datë 31.07.2024.</w:t>
      </w:r>
    </w:p>
    <w:p w14:paraId="4EF0E140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78ADC957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568F845B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4A3C0F02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36AAE01D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2DC3E76A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216C1767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58FB6171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38025B95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48F26752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44FBBAF8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30F2C16E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7154E482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0D1875D9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534273AC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6E92F138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38FA7167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17E417EB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6B760411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3896F879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785E0127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6219CB81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45BFE20D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2BC8E572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7051D0E8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58E53039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730D0365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4C01F90C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03867B0F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7AC1C052" w14:textId="77777777" w:rsidR="00B912D0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5E49875A" w14:textId="77777777" w:rsidR="00B912D0" w:rsidRPr="00070959" w:rsidRDefault="00B912D0" w:rsidP="00B912D0">
      <w:pPr>
        <w:spacing w:before="71"/>
        <w:ind w:left="572"/>
        <w:rPr>
          <w:i/>
          <w:sz w:val="24"/>
          <w:szCs w:val="40"/>
        </w:rPr>
      </w:pPr>
    </w:p>
    <w:p w14:paraId="79BF08B4" w14:textId="7ECA9BEF" w:rsidR="00B912D0" w:rsidRPr="006C0DD8" w:rsidRDefault="00B912D0" w:rsidP="00B912D0"/>
    <w:p w14:paraId="0BB71F57" w14:textId="6D9938A2" w:rsidR="00B912D0" w:rsidRDefault="00B912D0" w:rsidP="00B912D0">
      <w:pPr>
        <w:spacing w:before="71"/>
        <w:ind w:left="572"/>
        <w:rPr>
          <w:i/>
          <w:sz w:val="14"/>
        </w:rPr>
      </w:pPr>
      <w:r>
        <w:rPr>
          <w:noProof/>
        </w:rPr>
        <w:drawing>
          <wp:inline distT="0" distB="0" distL="0" distR="0" wp14:anchorId="2A1E8162" wp14:editId="6F56610B">
            <wp:extent cx="5943600" cy="812726"/>
            <wp:effectExtent l="0" t="0" r="0" b="6985"/>
            <wp:docPr id="901596131" name="Picture 2" descr="Një sfond i bardhë me re bardh e zi&#10;&#10;Përmbajtja e gjeneruar nga AI mund të jetë e pasaktë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96131" name="Picture 2" descr="A white background with black and white clou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12D0">
      <w:type w:val="continuous"/>
      <w:pgSz w:w="12250" w:h="17180"/>
      <w:pgMar w:top="4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978AD"/>
    <w:multiLevelType w:val="hybridMultilevel"/>
    <w:tmpl w:val="9998CE6C"/>
    <w:lvl w:ilvl="0" w:tplc="AFA8629E">
      <w:start w:val="1"/>
      <w:numFmt w:val="decimal"/>
      <w:lvlText w:val="%1."/>
      <w:lvlJc w:val="left"/>
      <w:pPr>
        <w:ind w:left="573" w:hanging="1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E1F"/>
        <w:spacing w:val="0"/>
        <w:w w:val="102"/>
        <w:sz w:val="14"/>
        <w:szCs w:val="14"/>
        <w:lang w:val="sq-AL" w:eastAsia="en-US" w:bidi="ar-SA"/>
      </w:rPr>
    </w:lvl>
    <w:lvl w:ilvl="1" w:tplc="C69E21D2">
      <w:start w:val="1"/>
      <w:numFmt w:val="lowerLetter"/>
      <w:lvlText w:val="%2)"/>
      <w:lvlJc w:val="left"/>
      <w:pPr>
        <w:ind w:left="77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105"/>
        <w:sz w:val="14"/>
        <w:szCs w:val="14"/>
        <w:lang w:val="sq-AL" w:eastAsia="en-US" w:bidi="ar-SA"/>
      </w:rPr>
    </w:lvl>
    <w:lvl w:ilvl="2" w:tplc="FF10C6E6">
      <w:start w:val="1"/>
      <w:numFmt w:val="lowerRoman"/>
      <w:lvlText w:val="%3)"/>
      <w:lvlJc w:val="left"/>
      <w:pPr>
        <w:ind w:left="573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105"/>
        <w:sz w:val="14"/>
        <w:szCs w:val="14"/>
        <w:lang w:val="sq-AL" w:eastAsia="en-US" w:bidi="ar-SA"/>
      </w:rPr>
    </w:lvl>
    <w:lvl w:ilvl="3" w:tplc="235CE74E">
      <w:numFmt w:val="bullet"/>
      <w:lvlText w:val="•"/>
      <w:lvlJc w:val="left"/>
      <w:pPr>
        <w:ind w:left="3045" w:hanging="200"/>
      </w:pPr>
      <w:rPr>
        <w:rFonts w:hint="default"/>
        <w:lang w:val="sq-AL" w:eastAsia="en-US" w:bidi="ar-SA"/>
      </w:rPr>
    </w:lvl>
    <w:lvl w:ilvl="4" w:tplc="2F8EA450">
      <w:numFmt w:val="bullet"/>
      <w:lvlText w:val="•"/>
      <w:lvlJc w:val="left"/>
      <w:pPr>
        <w:ind w:left="4178" w:hanging="200"/>
      </w:pPr>
      <w:rPr>
        <w:rFonts w:hint="default"/>
        <w:lang w:val="sq-AL" w:eastAsia="en-US" w:bidi="ar-SA"/>
      </w:rPr>
    </w:lvl>
    <w:lvl w:ilvl="5" w:tplc="1C042234">
      <w:numFmt w:val="bullet"/>
      <w:lvlText w:val="•"/>
      <w:lvlJc w:val="left"/>
      <w:pPr>
        <w:ind w:left="5311" w:hanging="200"/>
      </w:pPr>
      <w:rPr>
        <w:rFonts w:hint="default"/>
        <w:lang w:val="sq-AL" w:eastAsia="en-US" w:bidi="ar-SA"/>
      </w:rPr>
    </w:lvl>
    <w:lvl w:ilvl="6" w:tplc="9AEA8026">
      <w:numFmt w:val="bullet"/>
      <w:lvlText w:val="•"/>
      <w:lvlJc w:val="left"/>
      <w:pPr>
        <w:ind w:left="6444" w:hanging="200"/>
      </w:pPr>
      <w:rPr>
        <w:rFonts w:hint="default"/>
        <w:lang w:val="sq-AL" w:eastAsia="en-US" w:bidi="ar-SA"/>
      </w:rPr>
    </w:lvl>
    <w:lvl w:ilvl="7" w:tplc="A4FA7B80">
      <w:numFmt w:val="bullet"/>
      <w:lvlText w:val="•"/>
      <w:lvlJc w:val="left"/>
      <w:pPr>
        <w:ind w:left="7577" w:hanging="200"/>
      </w:pPr>
      <w:rPr>
        <w:rFonts w:hint="default"/>
        <w:lang w:val="sq-AL" w:eastAsia="en-US" w:bidi="ar-SA"/>
      </w:rPr>
    </w:lvl>
    <w:lvl w:ilvl="8" w:tplc="521A079C">
      <w:numFmt w:val="bullet"/>
      <w:lvlText w:val="•"/>
      <w:lvlJc w:val="left"/>
      <w:pPr>
        <w:ind w:left="8710" w:hanging="200"/>
      </w:pPr>
      <w:rPr>
        <w:rFonts w:hint="default"/>
        <w:lang w:val="sq-AL" w:eastAsia="en-US" w:bidi="ar-SA"/>
      </w:rPr>
    </w:lvl>
  </w:abstractNum>
  <w:num w:numId="1" w16cid:durableId="97884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85"/>
    <w:rsid w:val="00232C85"/>
    <w:rsid w:val="00852E23"/>
    <w:rsid w:val="00B9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2078"/>
  <w15:docId w15:val="{842913D1-E07C-453F-90BB-7579CAA5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spacing w:before="71"/>
      <w:ind w:left="5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573"/>
    </w:pPr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"/>
      <w:ind w:left="5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1"/>
      <w:ind w:left="5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konsumatori@amf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f.gov.a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1398</Words>
  <Characters>7970</Characters>
  <Application>Microsoft Office Word</Application>
  <DocSecurity>0</DocSecurity>
  <Lines>66</Lines>
  <Paragraphs>18</Paragraphs>
  <ScaleCrop>false</ScaleCrop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kushtet TPL 2025</dc:title>
  <dc:creator>Ermela Shima</dc:creator>
  <cp:lastModifiedBy>Jonis Kaloshi</cp:lastModifiedBy>
  <cp:revision>2</cp:revision>
  <dcterms:created xsi:type="dcterms:W3CDTF">2025-12-23T11:05:00Z</dcterms:created>
  <dcterms:modified xsi:type="dcterms:W3CDTF">2025-12-23T11:05:00Z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16.03</vt:lpwstr>
  </property>
  <property fmtid="{D5CDD505-2E9C-101B-9397-08002B2CF9AE}" pid="6" name="watermark">
    <vt:lpwstr/>
  </property>
</Properties>
</file>